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160" w:before="0" w:line="259" w:lineRule="auto"/>
        <w:rPr>
          <w:b w:val="1"/>
          <w:sz w:val="20"/>
          <w:szCs w:val="20"/>
        </w:rPr>
      </w:pPr>
      <w:r w:rsidDel="00000000" w:rsidR="00000000" w:rsidRPr="00000000">
        <w:rPr>
          <w:rFonts w:ascii="Calibri" w:cs="Calibri" w:eastAsia="Calibri" w:hAnsi="Calibri"/>
          <w:b w:val="1"/>
          <w:sz w:val="20"/>
          <w:szCs w:val="20"/>
          <w:rtl w:val="0"/>
        </w:rPr>
        <w:t xml:space="preserve">¿Qué es Título I?</w:t>
        <w:br w:type="textWrapping"/>
        <w:br w:type="textWrapping"/>
        <w:t xml:space="preserve">El propósito de este título es para asegurarse de que todos los niños tengan una oportunidad igual, justa e importante para beneficiarse de una educación de alta calidad y alcanzar, como mínimo, una competencia en estándares académico estatales y evaluaciones académicas estatales. Este propósito puede ser acompañado por – </w:t>
      </w:r>
      <w:r w:rsidDel="00000000" w:rsidR="00000000" w:rsidRPr="00000000">
        <w:rPr>
          <w:rtl w:val="0"/>
        </w:rPr>
      </w:r>
    </w:p>
    <w:p w:rsidR="00000000" w:rsidDel="00000000" w:rsidP="00000000" w:rsidRDefault="00000000" w:rsidRPr="00000000" w14:paraId="00000002">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asegurarse que las evaluaciones académicas de alta calidad, sistemas de contabilidad, preparación y entrenamiento de los maestros, currículo y materiales de enseñanza que están alineadas con estándares académicos estatales para que los estudiantes, maestros, padres y los administradores puedan medir el progreso con las expectativas comunes para el logro académico estudiantil;</w:t>
      </w:r>
    </w:p>
    <w:p w:rsidR="00000000" w:rsidDel="00000000" w:rsidP="00000000" w:rsidRDefault="00000000" w:rsidRPr="00000000" w14:paraId="00000003">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cumplir con las necesidades educativas de niños con bajo desempeño en las escuelas con mayor índice de pobreza de nuestra Nación, niños con competencia limitada en el idioma inglés, niños migrantes, niños con incapacitaciones, niños indígenas, niños descuidados o delincuentes y niños pequeños que necesiten ayuda en la lectura;</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cerrar la brecha educativa entre los niños de alto y bajo desempeño, especialmente las brechas de desempeño entre los estudiantes que forman parte de la minoría y los que forman parte de la minoría y entre los niños en desventaja y sus compañeros más avanzados;</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hacer que las escuelas, las agencias educativas locales y los estados sean responsables por mejorar el desempeño académico de todos los estudiantes e identificar y mejorar a las escuelas de bajo desempeño que no han logrado brindarles una educación de alta calidad para sus estudiantes, mientras se les ofrecen alternativas a los estudiantes en dichas escuelas para permitir que los estudiantes reciban una educación de alta calidad;</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bookmarkStart w:colFirst="0" w:colLast="0" w:name="_gjdgxs" w:id="0"/>
      <w:bookmarkEnd w:id="0"/>
      <w:r w:rsidDel="00000000" w:rsidR="00000000" w:rsidRPr="00000000">
        <w:rPr>
          <w:rFonts w:ascii="Calibri" w:cs="Calibri" w:eastAsia="Calibri" w:hAnsi="Calibri"/>
          <w:b w:val="0"/>
          <w:sz w:val="20"/>
          <w:szCs w:val="20"/>
          <w:rtl w:val="0"/>
        </w:rPr>
        <w:t xml:space="preserve">distribuir e identificar recursos suficientes para hacer una diferencia para las agencias y escuelas locales donde hay mayor necesidad;</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mejorar y fortalecer la contabilidad, la enseñanza y el aprendizaje al usar sistemas de evaluaciones estatales diseñados para asegurar que los estudiantes estén cumpliendo con los logros académicos estatales y los estándares del contenido y mejorar el logro como tal, pero especialmente para los niños que están en desventaja;</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brindar autoridad y flexibilidad para tomar las mejores decisiones para que las escuelas y los maestros tengan más responsabilidad en el desempeño estudiantil;</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brindarles a los niño un programa educativo acelerado y mejorado, que incluya el uso de programas escolares o servicios adicionales que aumente la cantidad y la calidad del tiempo de enseñanza;</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promover una reforma en toda la escuela y asegurar el acceso que tienen los niños a estrategias educativas efectivas y contenido académico estimulante;</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elevar la calidad de la enseñanza al brindarle al personal que participe en las escuelas suficientes oportunidades de desarrollo profesional;</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coordinar servicios bajo todas las partes de este título, con otros servicios educativos, y, de ser posible, con otras agencias que le ofrezcan servicios a la juventud, los niños, las familias; y</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ofrecerles a los padres suficientes oportunidades para participar en la educación de sus niños.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160" w:before="0" w:line="259" w:lineRule="auto"/>
        <w:rPr>
          <w:sz w:val="20"/>
          <w:szCs w:val="20"/>
        </w:rPr>
      </w:pPr>
      <w:r w:rsidDel="00000000" w:rsidR="00000000" w:rsidRPr="00000000">
        <w:rPr>
          <w:rFonts w:ascii="Calibri" w:cs="Calibri" w:eastAsia="Calibri" w:hAnsi="Calibri"/>
          <w:b w:val="0"/>
          <w:sz w:val="20"/>
          <w:szCs w:val="20"/>
          <w:rtl w:val="0"/>
        </w:rPr>
        <w:t xml:space="preserve">¿Qué se puede esperar del Estado, las Escuelas del Condado de Hoke y las Escuelas del Título I como resultado de recibir fondos de Título I?</w:t>
      </w:r>
      <w:r w:rsidDel="00000000" w:rsidR="00000000" w:rsidRPr="00000000">
        <w:rPr>
          <w:rtl w:val="0"/>
        </w:rPr>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Boletín de calificaciones anuales</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El derecho de los padres de conocer el logro estudiantil en las evaluaciones estatales</w:t>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La identificación de la escuela con necesidad de implementar mejorías y sanciones de la misma</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Cualificaciones de los maestros y el personal de apoyo</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Los maestros que no están altamente cualificados </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Políticas de participación de los padres por escrito</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Reuniones de Título I, Parte A</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Información de Título I, Parte A</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Financiamiento del Título I para la participación de los padres</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Capacidad de los padres---participación en sesiones de entrenamiento y reuniones</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hanging="360"/>
        <w:rPr>
          <w:b w:val="0"/>
          <w:sz w:val="20"/>
          <w:szCs w:val="20"/>
        </w:rPr>
      </w:pPr>
      <w:r w:rsidDel="00000000" w:rsidR="00000000" w:rsidRPr="00000000">
        <w:rPr>
          <w:rFonts w:ascii="Calibri" w:cs="Calibri" w:eastAsia="Calibri" w:hAnsi="Calibri"/>
          <w:b w:val="0"/>
          <w:sz w:val="20"/>
          <w:szCs w:val="20"/>
          <w:rtl w:val="0"/>
        </w:rPr>
        <w:t xml:space="preserve">Alfabetismo familiar---estimular el aprendizaje</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